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ZapfHumnst BT" w:cs="ZapfHumnst BT" w:eastAsia="ZapfHumnst BT" w:hAnsi="ZapfHumnst B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ZapfHumnst BT" w:cs="ZapfHumnst BT" w:eastAsia="ZapfHumnst BT" w:hAnsi="ZapfHumnst B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10" w:right="0" w:firstLine="0"/>
        <w:jc w:val="center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color w:val="000000"/>
          <w:sz w:val="22"/>
          <w:szCs w:val="22"/>
          <w:vertAlign w:val="baseline"/>
          <w:rtl w:val="0"/>
        </w:rPr>
        <w:t xml:space="preserve">PRESENTACIÓN DE PROYECTOS DE CAPACITACIÓN DOCENTE 2024</w:t>
      </w:r>
      <w:r w:rsidDel="00000000" w:rsidR="00000000" w:rsidRPr="00000000">
        <w:rPr>
          <w:rtl w:val="0"/>
        </w:rPr>
      </w:r>
    </w:p>
    <w:tbl>
      <w:tblPr>
        <w:tblStyle w:val="Table1"/>
        <w:tblW w:w="8793.0" w:type="dxa"/>
        <w:jc w:val="left"/>
        <w:tblInd w:w="-103.0" w:type="dxa"/>
        <w:tblLayout w:type="fixed"/>
        <w:tblLook w:val="0000"/>
      </w:tblPr>
      <w:tblGrid>
        <w:gridCol w:w="4247"/>
        <w:gridCol w:w="4546"/>
        <w:tblGridChange w:id="0">
          <w:tblGrid>
            <w:gridCol w:w="4247"/>
            <w:gridCol w:w="4546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u w:val="none"/>
                <w:vertAlign w:val="baseline"/>
                <w:rtl w:val="0"/>
              </w:rPr>
              <w:t xml:space="preserve">Nombre del Proyecto</w:t>
            </w: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i w:val="1"/>
                <w:sz w:val="22"/>
                <w:szCs w:val="22"/>
                <w:u w:val="none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Docentes Formadores </w:t>
            </w:r>
            <w:r w:rsidDel="00000000" w:rsidR="00000000" w:rsidRPr="00000000">
              <w:rPr>
                <w:rFonts w:ascii="Nimbus Roman No9 L" w:cs="Nimbus Roman No9 L" w:eastAsia="Nimbus Roman No9 L" w:hAnsi="Nimbus Roman No9 L"/>
                <w:b w:val="0"/>
                <w:sz w:val="22"/>
                <w:szCs w:val="22"/>
                <w:vertAlign w:val="baseline"/>
                <w:rtl w:val="0"/>
              </w:rPr>
              <w:t xml:space="preserve">(Nombre completo, DNI y cargo que desempeña en FFyL)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Destinatarios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Tipo de Intervención*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Carga Horaria*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Cupo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Modalidad de cursado*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Fecha de desarrollo del trayecto*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Evaluación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Breve fundamentación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ind w:left="-5" w:right="0" w:firstLine="0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Objetivos generales y específicos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Ejes de contenidos, especificando la 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Estrategias metodológicas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Notas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*Tipo de Intervención.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 Indicar : Curso, Taller o  Postítulo</w:t>
      </w: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*Carga Horaria.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La carga horaria de  Cursos y Talleres se computa en horas cátedra (mínimo 40 hs. cátedra).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La carga horaria de los Postítulos se computa en horas reloj, en sus 3 niveles: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Actualización: mínimo 200 horas reloj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Especialización: mínimo 400 horas reloj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Diplomatura: mínimo 600 horas reloj.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*Modalidad de Cursado.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 Presencial – Semipresencial –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*Fecha de desarrollo del trayecto: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 Primer o Segundo Cuatrimestre 2023, según correspon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sz w:val="24"/>
          <w:szCs w:val="24"/>
          <w:vertAlign w:val="baseline"/>
          <w:rtl w:val="0"/>
        </w:rPr>
        <w:t xml:space="preserve">Cronograma de dictado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sz w:val="22"/>
          <w:szCs w:val="22"/>
          <w:vertAlign w:val="baseline"/>
          <w:rtl w:val="0"/>
        </w:rPr>
        <w:t xml:space="preserve">Se solicita especificar días y horarios  de dictado y/o  aula virtual a emplear.</w:t>
      </w:r>
      <w:r w:rsidDel="00000000" w:rsidR="00000000" w:rsidRPr="00000000">
        <w:rPr>
          <w:rFonts w:ascii="Nimbus Roman No9 L" w:cs="Nimbus Roman No9 L" w:eastAsia="Nimbus Roman No9 L" w:hAnsi="Nimbus Roman No9 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before="75" w:line="360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2835" w:left="1701" w:right="1134" w:header="45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imbus Roman No9 L"/>
  <w:font w:name="ZapfHumnst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leader="none" w:pos="1984"/>
        <w:tab w:val="left" w:leader="none" w:pos="9639"/>
      </w:tabs>
      <w:rPr>
        <w:rFonts w:ascii="ZapfHumnst BT" w:cs="ZapfHumnst BT" w:eastAsia="ZapfHumnst BT" w:hAnsi="ZapfHumnst BT"/>
        <w:b w:val="1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vertAlign w:val="baseline"/>
      </w:rPr>
      <w:drawing>
        <wp:inline distB="0" distT="0" distL="114300" distR="114300">
          <wp:extent cx="5718175" cy="112458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8175" cy="1124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center" w:leader="none" w:pos="1984"/>
        <w:tab w:val="left" w:leader="none" w:pos="9639"/>
      </w:tabs>
      <w:jc w:val="center"/>
      <w:rPr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b w:val="1"/>
        <w:sz w:val="16"/>
        <w:szCs w:val="16"/>
        <w:vertAlign w:val="baseline"/>
        <w:rtl w:val="0"/>
      </w:rPr>
      <w:t xml:space="preserve">Secretaría de Extensión – Coordinación de Formación Docente y Desarrollo Profesional</w:t>
    </w:r>
    <w:r w:rsidDel="00000000" w:rsidR="00000000" w:rsidRPr="00000000">
      <w:rPr>
        <w:rFonts w:ascii="ZapfHumnst BT" w:cs="ZapfHumnst BT" w:eastAsia="ZapfHumnst BT" w:hAnsi="ZapfHumnst BT"/>
        <w:b w:val="1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center" w:leader="none" w:pos="1984"/>
        <w:tab w:val="left" w:leader="none" w:pos="9639"/>
      </w:tabs>
      <w:jc w:val="center"/>
      <w:rPr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sz w:val="16"/>
        <w:szCs w:val="16"/>
        <w:vertAlign w:val="baseline"/>
        <w:rtl w:val="0"/>
      </w:rPr>
      <w:t xml:space="preserve"> Av. Benjamín Aráoz 800 - C.P. 4000 - Tucumán - Argentina –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center" w:leader="none" w:pos="1984"/>
        <w:tab w:val="left" w:leader="none" w:pos="9639"/>
      </w:tabs>
      <w:jc w:val="center"/>
      <w:rPr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b w:val="1"/>
        <w:sz w:val="16"/>
        <w:szCs w:val="16"/>
        <w:vertAlign w:val="baseline"/>
        <w:rtl w:val="0"/>
      </w:rPr>
      <w:t xml:space="preserve">E-mail</w:t>
    </w:r>
    <w:r w:rsidDel="00000000" w:rsidR="00000000" w:rsidRPr="00000000">
      <w:rPr>
        <w:rFonts w:ascii="ZapfHumnst BT" w:cs="ZapfHumnst BT" w:eastAsia="ZapfHumnst BT" w:hAnsi="ZapfHumnst BT"/>
        <w:sz w:val="16"/>
        <w:szCs w:val="16"/>
        <w:vertAlign w:val="baseline"/>
        <w:rtl w:val="0"/>
      </w:rPr>
      <w:t xml:space="preserve">: formacion.docente@filo.unt.edu.ar - </w:t>
    </w:r>
    <w:r w:rsidDel="00000000" w:rsidR="00000000" w:rsidRPr="00000000">
      <w:rPr>
        <w:rFonts w:ascii="ZapfHumnst BT" w:cs="ZapfHumnst BT" w:eastAsia="ZapfHumnst BT" w:hAnsi="ZapfHumnst BT"/>
        <w:b w:val="1"/>
        <w:sz w:val="16"/>
        <w:szCs w:val="16"/>
        <w:vertAlign w:val="baseline"/>
        <w:rtl w:val="0"/>
      </w:rPr>
      <w:t xml:space="preserve">Internet</w:t>
    </w:r>
    <w:r w:rsidDel="00000000" w:rsidR="00000000" w:rsidRPr="00000000">
      <w:rPr>
        <w:rFonts w:ascii="ZapfHumnst BT" w:cs="ZapfHumnst BT" w:eastAsia="ZapfHumnst BT" w:hAnsi="ZapfHumnst BT"/>
        <w:sz w:val="16"/>
        <w:szCs w:val="16"/>
        <w:vertAlign w:val="baseline"/>
        <w:rtl w:val="0"/>
      </w:rPr>
      <w:t xml:space="preserve">: www.filo.unt.edu.ar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3556635</wp:posOffset>
              </wp:positionH>
              <wp:positionV relativeFrom="paragraph">
                <wp:posOffset>172720</wp:posOffset>
              </wp:positionV>
              <wp:extent cx="2205355" cy="278765"/>
              <wp:effectExtent b="0" l="0" r="0" t="0"/>
              <wp:wrapSquare wrapText="bothSides" distB="45720" distT="45720" distL="114935" distR="114935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48085" y="3645380"/>
                        <a:ext cx="2195830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504.00001525878906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“Las Malvinas son argentinas”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3556635</wp:posOffset>
              </wp:positionH>
              <wp:positionV relativeFrom="paragraph">
                <wp:posOffset>172720</wp:posOffset>
              </wp:positionV>
              <wp:extent cx="2205355" cy="278765"/>
              <wp:effectExtent b="0" l="0" r="0" t="0"/>
              <wp:wrapSquare wrapText="bothSides" distB="45720" distT="45720" distL="114935" distR="114935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5355" cy="278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basedOn w:val="Fuentedepárrafopredeter.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lacedeInternetvisitado">
    <w:name w:val="Enlace de Internet visitado"/>
    <w:basedOn w:val="Fuentedepárrafopredeter."/>
    <w:next w:val="EnlacedeInternet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Free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Devanagari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Free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Pie">
    <w:name w:val="Pie"/>
    <w:basedOn w:val="Normal"/>
    <w:next w:val="Pi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FreeSans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2124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widowControl w:val="1"/>
      <w:tabs>
        <w:tab w:val="center" w:leader="none" w:pos="0"/>
      </w:tabs>
      <w:suppressAutoHyphens w:val="0"/>
      <w:bidi w:val="0"/>
      <w:spacing w:line="1" w:lineRule="atLeast"/>
      <w:ind w:left="720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6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Hpq8U+7NQ/vLsO8QvKe3U605A==">CgMxLjAyCGguZ2pkZ3hzOAByITExYjllWDBCMGVZdHA4a0hvakdZaGRxTmJIcGZ6TFh3dw==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2022-02-15T10:52:00Z</dcterms:created>
  <dc:creator>Prensa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